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FischSeuchV 2008 — Untersuchungen, Mitteilungspflicht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genehmigungspflichtige Tätigkeit nach § 3 ausübt, hat die in der Anlage 1 Spalte 3 bezeichneten Fische aus Aquakultur, die für die jeweils in Anlage 1 Spalte 1 genannten Seuchen empfänglich sind, nach Maßgabe des Anhangs III Teil B der Richtlinie 2006/88/EG in geeigneter Weise untersuchen zu lassen. Soweit eine Laboruntersuchung hierfür erforderlich ist, ist diese von einer von der zuständigen Behörde benannten Untersuchungseinrichtung durchzuführen.</w:t>
      </w:r>
    </w:p>
    <w:p>
      <w:r>
        <w:t xml:space="preserve">(2) Die zuständige Behörde kann die Untersuchung nach Absatz 1 anordnen, wenn in einem Betrieb eine andere als in Absatz 1 genannte Tätigkeit ausgeübt wird und das Risiko einer Infektion mit einer Seuche in diesem Betrieb besteht oder von diesem ausgeht.</w:t>
      </w:r>
    </w:p>
    <w:p>
      <w:r>
        <w:t xml:space="preserve">(3) Wird bei Fischen aus Aquakultur eine erhöhte Sterblichkeitsrate festgestellt, die nicht eindeutig auf Haltungsbedingungen oder Transportbedingungen zurückgeführt werden kann, ohne dass ein Ausbruch oder ein Verdacht im Sinne des § 2 Abs. 2 Nr. 1 oder 2 vorliegt, hat der Betreiber des Aquakulturbetriebes dies der zuständigen Behörde unverzüglich mitzuteilen. Diese Verpflichtung obliegt auch den für die Fische verantwortlichen Personen, die nicht Betreiber des Aquakulturbetriebes sind.</w:t>
      </w:r>
    </w:p>
    <w:p>
      <w:r>
        <w:t xml:space="preserve">(4) Die Absätze 1 bis 3 lassen die Befugnis der Länder unberührt, unter Beachtung der Vorschriften der Richtlinie 2006/88/EG eigene Vorschriften zu erlassen, die das Nähere der Untersuchungen nach Absatz 1 einschließlich der Sachkunde derjenigen Personen, die die Untersuchungen durchführen, regeln.</w:t>
      </w:r>
    </w:p>
    <w:p>
      <w:r>
        <w:rPr>
          <w:color w:val="555555"/>
          <w:sz w:val="17"/>
        </w:rPr>
        <w:t xml:space="preserve">Zitiervorschlag: § 7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