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FischSeuchV 2008 — Genehmigung</w:t>
      </w:r>
    </w:p>
    <w:p>
      <w:r>
        <w:rPr>
          <w:color w:val="555555"/>
          <w:sz w:val="18"/>
        </w:rPr>
        <w:t xml:space="preserve">Fischseuchenverordnung</w:t>
      </w:r>
    </w:p>
    <w:p>
      <w:r>
        <w:rPr>
          <w:color w:val="555555"/>
          <w:sz w:val="18"/>
        </w:rPr>
        <w:t xml:space="preserve">Stand: 10.06.2019 (konsolidierte Textfassung, kein amtliches Inkrafttretensdatum)</w:t>
      </w:r>
    </w:p>
    <w:p>
      <w:r>
        <w:t xml:space="preserve">(1) Die zuständige Behörde erteilt die Genehmigung auf Antrag, soweit</w:t>
      </w:r>
    </w:p>
    <w:p>
      <w:pPr>
        <w:ind w:left="420"/>
      </w:pPr>
      <w:r>
        <w:t xml:space="preserve">1. sichergestellt ist, dass</w:t>
      </w:r>
    </w:p>
    <w:p>
      <w:pPr>
        <w:ind w:left="780"/>
      </w:pPr>
      <w:r>
        <w:t xml:space="preserve">a) durch geeignete Maßnahmen keine Seuchenerreger übertragen werden können und</w:t>
      </w:r>
    </w:p>
    <w:p>
      <w:pPr>
        <w:ind w:left="780"/>
      </w:pPr>
      <w:r>
        <w:t xml:space="preserve">b) die sonstigen Pflichten nach den §§ 7 und 8 erfüllt werden sowie</w:t>
      </w:r>
    </w:p>
    <w:p>
      <w:pPr>
        <w:ind w:left="420"/>
      </w:pPr>
      <w:r>
        <w:t xml:space="preserve">2. im Falle eines Betriebes im Sinne des § 3 Nr. 2 oder 3 dieser über eine eigene Abwasseraufbereitungsanlage verfügt, die die Abtötung von Seuchenerregern gewährleistet, oder die Abwässer einer anderen Behandlung unterzogen werden, die gewährleistet, dass keine Seuchenerreger übertragen werden.</w:t>
      </w:r>
    </w:p>
    <w:p>
      <w:r>
        <w:t xml:space="preserve">(2) Die Genehmigung wird unter Zuteilung einer zwölfstelligen Nummer erteilt, die sich aus der für die Sitzgemeinde des Betriebes vorgesehenen amtlichen Schlüsselnummer des vom Statistischen Bundesamt herausgegebenen Gemeindeschlüsselverzeichnisses sowie der vierstelligen Nummer für den Betrieb zusammensetzt. Die zuständige Behörde erfasst die genehmigten Betriebe mit Angabe dieser Nummer in einem Register.</w:t>
      </w:r>
    </w:p>
    <w:p>
      <w:r>
        <w:t xml:space="preserve">(3) Die Genehmigung kann – auch nachträglich – mit Auflagen verbunden werden, soweit dies erforderlich ist, um das Einhalten oder das Fortbestehen der Genehmigungsvoraussetzungen sicherzustellen. Durch Auflagen können insbesondere bestimmte Verfahrensabläufe oder Sicherheitsvorkehrungen oder eine bestimmte Beschaffenheit oder Ausstattung des Betriebes angeordnet werden.</w:t>
      </w:r>
    </w:p>
    <w:p>
      <w:r>
        <w:t xml:space="preserve">(4) Sind die Voraussetzungen für die Genehmigung des Betriebes nachträglich entfallen, so kann die zuständige Behörde an Stelle eines Widerrufes das Ruhen der Genehmigung anordnen, wenn zu erwarten ist, dass die Voraussetzungen für die Genehmigung alsbald wieder eingehalten werden. Diese Anordnung ist aufzuheben, wenn der Betreiber nachweist, dass die Voraussetzungen für die Genehmigung wieder vorliegen. Im Übrigen bleiben die Vorschriften der Verwaltungsverfahrensgesetze der Länder über Rücknahme und Widerruf unberührt.</w:t>
      </w:r>
    </w:p>
    <w:p>
      <w:r>
        <w:rPr>
          <w:color w:val="555555"/>
          <w:sz w:val="17"/>
        </w:rPr>
        <w:t xml:space="preserve">Zitiervorschlag: § 4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