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FischSeuchV 2008 — Genehmigungspflicht</w:t>
      </w:r>
    </w:p>
    <w:p>
      <w:r>
        <w:rPr>
          <w:color w:val="555555"/>
          <w:sz w:val="18"/>
        </w:rPr>
        <w:t xml:space="preserve">Fischseuchenverordnung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 in einem</w:t>
      </w:r>
    </w:p>
    <w:p>
      <w:pPr>
        <w:ind w:left="420"/>
      </w:pPr>
      <w:r>
        <w:t xml:space="preserve">1. Aquakulturbetrieb,</w:t>
      </w:r>
    </w:p>
    <w:p>
      <w:pPr>
        <w:ind w:left="420"/>
      </w:pPr>
      <w:r>
        <w:t xml:space="preserve">2. Verarbeitungsbetrieb, in dem Fische aus Aquakultur getötet werden, oder</w:t>
      </w:r>
    </w:p>
    <w:p>
      <w:pPr>
        <w:ind w:left="420"/>
      </w:pPr>
      <w:r>
        <w:t xml:space="preserve">3. Weichtierzuchtgebiet gelegenen Versand- oder Reinigungszentrum</w:t>
      </w:r>
    </w:p>
    <w:p>
      <w:r>
        <w:t xml:space="preserve">Fische hält, verbringt oder abgibt oder tote Fische oder Teile davon verbringt, abgibt oder verwertet, bedarf der Genehmigung durch die zuständige Behörde. Satz 1 gilt nicht, soweit die Tätigkeit in einem Aquakulturbetrieb der Registrierung nach § 6 bedarf.</w:t>
      </w:r>
    </w:p>
    <w:p>
      <w:r>
        <w:rPr>
          <w:color w:val="555555"/>
          <w:sz w:val="17"/>
        </w:rPr>
        <w:t xml:space="preserve">Zitiervorschlag: § 3 FischSeuchV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https://recht.nulegal.eu/gesetze/FischSeuchV%202008/3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