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FischSeuchV 2008 — Aufhebung der Schutzmaßregeln</w:t>
      </w:r>
    </w:p>
    <w:p>
      <w:r>
        <w:rPr>
          <w:color w:val="555555"/>
          <w:sz w:val="18"/>
        </w:rPr>
        <w:t xml:space="preserve">Fischseuchenverordnung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Angeordnete Schutzmaßregeln nach den §§ 19 bis 27 sind aufzuheben, soweit die Seuche erloschen ist oder der Verdacht des Ausbruchs der Seuche beseitigt ist oder sich als unbegründet erwiesen hat.</w:t>
      </w:r>
    </w:p>
    <w:p>
      <w:r>
        <w:t xml:space="preserve">(2) Die Seuche gilt als erloschen, soweit</w:t>
      </w:r>
    </w:p>
    <w:p>
      <w:pPr>
        <w:ind w:left="420"/>
      </w:pPr>
      <w:r>
        <w:t xml:space="preserve">1. alle Fische aus Aquakultur des Betriebes oder einzelner in sich abgeschlossener Teile des Aquakulturbetriebes verendet, getötet oder entfernt worden sind und</w:t>
      </w:r>
    </w:p>
    <w:p>
      <w:pPr>
        <w:ind w:left="420"/>
      </w:pPr>
      <w:r>
        <w:t xml:space="preserve">2. die Desinfektion des Betriebes oder einzelner in sich abgeschlossener Teile des Aquakulturbetriebes nach näherer Anweisung der zuständigen Behörde durchgeführt worden ist.</w:t>
      </w:r>
    </w:p>
    <w:p>
      <w:r>
        <w:t xml:space="preserve">(3) Die zuständige Behörde hebt die Festlegung als Sperrgebiet nach den §§ 21 und 27 auf, soweit die Untersuchungen in dem Sperrgebiet mit negativem Ergebnis abgeschlossen worden sind.</w:t>
      </w:r>
    </w:p>
    <w:p>
      <w:r>
        <w:t xml:space="preserve">(4) Die zuständige Behörde hebt die Festlegung als Überwachungsgebiet nach den §§ 21 und 27 auf, soweit die Untersuchungen in dem Überwachungsgebiet mit negativem Ergebnis abgeschlossen worden sind.</w:t>
      </w:r>
    </w:p>
    <w:p>
      <w:r>
        <w:t xml:space="preserve">(5) Nach Aufhebung der Schutzmaßregeln wegen einer in Anlage 1 Spalte 1 Nummer 1 aufgeführten exotischen Seuche kann die zuständige Behörde den Wiederbesatz eines Aquakulturbetriebes von dem Ergebnis der Untersuchung nach § 20 Abs. 2 Satz 1 abhängig machen.</w:t>
      </w:r>
    </w:p>
    <w:p>
      <w:r>
        <w:rPr>
          <w:color w:val="555555"/>
          <w:sz w:val="17"/>
        </w:rPr>
        <w:t xml:space="preserve">Zitiervorschlag: § 28 FischSeuchV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https://recht.nulegal.eu/gesetze/FischSeuchV%202008/28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