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FischSeuchV 2008 — Schutzmaßregeln bei Ansteckungsverdacht für eine nicht exotische Seuche ausgehend von einem Schutzgebiet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in einem Schutzgebiet der Verdacht des Ausbruchs oder der Ausbruch einer nicht exotischen Seuche amtlich festgestellt, so stellt die zuständige Behörde epidemiologische Nachforschungen gemäß § 19 Abs. 3 an und ordnet für Aquakulturbetriebe,</w:t>
      </w:r>
    </w:p>
    <w:p>
      <w:pPr>
        <w:ind w:left="420"/>
      </w:pPr>
      <w:r>
        <w:t xml:space="preserve">1. aus denen die nicht exotische Seuche eingeschleppt oder</w:t>
      </w:r>
    </w:p>
    <w:p>
      <w:pPr>
        <w:ind w:left="420"/>
      </w:pPr>
      <w:r>
        <w:t xml:space="preserve">2. in welche die nicht exotische Seuche bereits weiter verschleppt worden sein kann,</w:t>
      </w:r>
    </w:p>
    <w:p>
      <w:r>
        <w:t xml:space="preserve">die behördliche Beobachtung an; § 19 Abs. 2 gilt entsprechend. Die zuständige Behörde kann histologische, molekularbiologische, parasitologische oder virologische Untersuchungen anordnen.</w:t>
      </w:r>
    </w:p>
    <w:p>
      <w:r>
        <w:t xml:space="preserve">(2) Die zuständige Behörde kann die Maßnahmen nach Absatz 1 auch für die in § 6 Abs. 1 genannten Betriebe anordnen.</w:t>
      </w:r>
    </w:p>
    <w:p>
      <w:r>
        <w:rPr>
          <w:color w:val="555555"/>
          <w:sz w:val="17"/>
        </w:rPr>
        <w:t xml:space="preserve">Zitiervorschlag: § 26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