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FischSeuchV 2008 — Schutzmaßregeln nach amtlicher Feststellung des Ausbruchs einer nicht exotischen Seuche in einem Schutzgebiet</w:t>
      </w:r>
    </w:p>
    <w:p>
      <w:r>
        <w:rPr>
          <w:color w:val="555555"/>
          <w:sz w:val="18"/>
        </w:rPr>
        <w:t xml:space="preserve">Fischseuchenverordnung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eine nicht exotische Seuche in einem Schutzgebiet amtlich festgestellt, so unterliegt das Schutzgebiet nach Maßgabe folgender Vorschriften der Sperre:</w:t>
      </w:r>
    </w:p>
    <w:p>
      <w:pPr>
        <w:ind w:left="420"/>
      </w:pPr>
      <w:r>
        <w:t xml:space="preserve">1. Die zuständige Behörde widerruft die Festlegung als Schutzgebiet.</w:t>
      </w:r>
    </w:p>
    <w:p>
      <w:pPr>
        <w:ind w:left="420"/>
      </w:pPr>
      <w:r>
        <w:t xml:space="preserve">2. § 22 ist entsprechend anzuwenden.</w:t>
      </w:r>
    </w:p>
    <w:p>
      <w:r>
        <w:rPr>
          <w:color w:val="555555"/>
          <w:sz w:val="17"/>
        </w:rPr>
        <w:t xml:space="preserve">Zitiervorschlag: § 25 FischSeuchV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https://recht.nulegal.eu/gesetze/FischSeuchV%202008/25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