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FischSeuchV 2008 — Schutzmaßregeln nach amtlicher Feststellung einer exotischen Seuche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Ausbruch oder der Verdacht des Ausbruchs einer exotischen Seuche in einem Aquakulturbetrieb amtlich festgestellt, so unterliegt der Aquakulturbetrieb nach Maßgabe folgender Vorschriften der Sperre:</w:t>
      </w:r>
    </w:p>
    <w:p>
      <w:pPr>
        <w:ind w:left="420"/>
      </w:pPr>
      <w:r>
        <w:t xml:space="preserve">1. Der Betreiber des Aquakulturbetriebes hat verendete Fische aus Aquakultur unverzüglich unschädlich zu beseitigen oder beseitigen zu lassen.</w:t>
      </w:r>
    </w:p>
    <w:p>
      <w:pPr>
        <w:ind w:left="420"/>
      </w:pPr>
      <w:r>
        <w:t xml:space="preserve">2. Für die lebenden Fische aus Aquakultur ordnet die zuständige Behörde die sofortige Tötung und unschädliche Beseitigung an.</w:t>
      </w:r>
    </w:p>
    <w:p>
      <w:pPr>
        <w:ind w:left="420"/>
      </w:pPr>
      <w:r>
        <w:t xml:space="preserve">3. Die zuständige Behörde kann für ansteckungsverdächtige Fische aus Aquakultur von einer Anordnung nach Nummer 2 absehen, sofern sichergestellt ist, dass die Fische aus Aquakultur unverzüglich unter amtlicher Aufsicht geschlachtet und die Innereien unschädlich beseitigt werden.</w:t>
      </w:r>
    </w:p>
    <w:p>
      <w:pPr>
        <w:ind w:left="420"/>
      </w:pPr>
      <w:r>
        <w:t xml:space="preserve">4. Transportmittel, mit denen lebende und verendete Fische aus Aquakultur transportiert werden, müssen vor dem Verlassen des Aquakulturbetriebes gereinigt und desinfiziert werden.</w:t>
      </w:r>
    </w:p>
    <w:p>
      <w:pPr>
        <w:ind w:left="420"/>
      </w:pPr>
      <w:r>
        <w:t xml:space="preserve">5. Nach Entfernung der Fische aus Aquakultur sind der Aquakulturbetrieb sowie Gegenstände, die Träger des Seuchenerregers sein können, nach näherer Anweisung der zuständigen Behörde zu reinigen und zu desinfizieren.</w:t>
      </w:r>
    </w:p>
    <w:p>
      <w:pPr>
        <w:ind w:left="420"/>
      </w:pPr>
      <w:r>
        <w:t xml:space="preserve">6. Von Fischen aus Aquakultur stammende Teile, Rohstoffe, Erzeugnisse sowie Futtermittel und sonstige Gegenstände, die Träger des Seuchenerregers sein können, dürfen nur mit Genehmigung der zuständigen Behörde verbracht werden.</w:t>
      </w:r>
    </w:p>
    <w:p>
      <w:pPr>
        <w:ind w:left="420"/>
      </w:pPr>
      <w:r>
        <w:t xml:space="preserve">7. Personen dürfen den Aquakulturbetrieb nur mit Genehmigung der zuständigen Behörde betreten und müssen vor jedem Verlassen der Anlage ihr Schuhwerk reinigen und desinfizieren.</w:t>
      </w:r>
    </w:p>
    <w:p>
      <w:r>
        <w:t xml:space="preserve">(2) Alle der amtlichen Beobachtung nach § 19 Abs. 2 unterliegenden Aquakulturbetriebe sind nach näherer Anweisung der zuständigen Behörde auf die in Anlage 1 Spalte 1 Nummer 1 aufgeführte exotische Seuche zu untersuchen. Die zuständige Behörde kann die Maßnahmen nach Satz 1 auch für die in § 6 Abs. 1 genannten Betriebe anordnen.</w:t>
      </w:r>
    </w:p>
    <w:p>
      <w:r>
        <w:t xml:space="preserve">(3) § 19 Abs. 3 gilt entsprechend.</w:t>
      </w:r>
    </w:p>
    <w:p>
      <w:r>
        <w:rPr>
          <w:color w:val="555555"/>
          <w:sz w:val="17"/>
        </w:rPr>
        <w:t xml:space="preserve">Zitiervorschlag: § 20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