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FischSeuchV 2008 — Begriffsbestimmungen</w:t>
      </w:r>
    </w:p>
    <w:p>
      <w:r>
        <w:rPr>
          <w:color w:val="555555"/>
          <w:sz w:val="18"/>
        </w:rPr>
        <w:t xml:space="preserve">Fischseuchenverordnung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Sinne dieser Verordnung sind</w:t>
      </w:r>
    </w:p>
    <w:p>
      <w:pPr>
        <w:ind w:left="420"/>
      </w:pPr>
      <w:r>
        <w:t xml:space="preserve">1. Fische aus Aquakultur:Fische in allen Lebensstadien, einschließlich der Eier und der Samen, die in einem Aquakulturbetrieb aufgezogen, gehalten oder gehältert werden,</w:t>
      </w:r>
    </w:p>
    <w:p>
      <w:pPr>
        <w:ind w:left="420"/>
      </w:pPr>
      <w:r>
        <w:t xml:space="preserve">2. Aquakulturbetrieb:jeder Betrieb, der einer Tätigkeit im Zusammenhang mit der Zucht, Haltung oder Hälterung von Fischen nachgeht,</w:t>
      </w:r>
    </w:p>
    <w:p>
      <w:pPr>
        <w:ind w:left="420"/>
      </w:pPr>
      <w:r>
        <w:t xml:space="preserve">3. Angelteich:Teich oder sonstige Anlage, in denen der Bestand ausschließlich für die Angelfischerei durch Besatz mit Fischen aus Aquakultur erhalten wird.</w:t>
      </w:r>
    </w:p>
    <w:p>
      <w:r>
        <w:t xml:space="preserve">(2) Im Sinne dieser Verordnung liegt vor:</w:t>
      </w:r>
    </w:p>
    <w:p>
      <w:pPr>
        <w:ind w:left="420"/>
      </w:pPr>
      <w:r>
        <w:t xml:space="preserve">1. Ausbruch einer der in Anlage 1 Spalte 1 genannten Seuchen, wenn diese durch eine der in Anlage 1 Spalte 2 jeweils bezeichnete Untersuchung bei einer der in Anlage 1 Spalte 3 jeweils bezeichneten empfänglichen Art festgestellt worden ist;</w:t>
      </w:r>
    </w:p>
    <w:p>
      <w:pPr>
        <w:ind w:left="420"/>
      </w:pPr>
      <w:r>
        <w:t xml:space="preserve">2. Verdacht des Ausbruchs, wenn bei Fischen aus Aquakultur das Ergebnis der</w:t>
      </w:r>
    </w:p>
    <w:p>
      <w:pPr>
        <w:ind w:left="780"/>
      </w:pPr>
      <w:r>
        <w:t xml:space="preserve">a) klinischen und pathologisch-anatomischen Untersuchung,</w:t>
      </w:r>
    </w:p>
    <w:p>
      <w:pPr>
        <w:ind w:left="780"/>
      </w:pPr>
      <w:r>
        <w:t xml:space="preserve">b) klinischen und epidemiologischen Untersuchung oder</w:t>
      </w:r>
    </w:p>
    <w:p>
      <w:pPr>
        <w:ind w:left="780"/>
      </w:pPr>
      <w:r>
        <w:t xml:space="preserve">c) pathologisch-anatomischen und epidemiologischen Untersuchung</w:t>
      </w:r>
    </w:p>
    <w:p>
      <w:pPr>
        <w:ind w:left="420"/>
      </w:pPr>
      <w:r>
        <w:t xml:space="preserve">den Ausbruch einer der in Anlage 1 Spalte 1 genannten Seuchen befürchten lässt.</w:t>
      </w:r>
    </w:p>
    <w:p>
      <w:r>
        <w:t xml:space="preserve">Für die Untersuchung auf die in Anlage 1 Spalte 1 genannten Seuchen gelten die Verfahren, die die Europäische Kommission auf Grund des Artikels 57 Buchstabe b der Richtlinie 2006/88/EG des Rates vom 24. Oktober 2006 mit Gesundheits- und Hygienevorschriften für Tiere in Aquakultur und Aquakulturerzeugnisse und zur Verhütung und Bekämpfung bestimmter Wassertierkrankheiten (ABl. EU Nr. L 328 S. 14, 2007 Nr. L 140 S. 59) erlassen und die das Bundesministerium für Ernährung und Landwirtschaft (Bundesministerium) im Bundesanzeiger bekannt gemacht hat.</w:t>
      </w:r>
    </w:p>
    <w:p>
      <w:r>
        <w:rPr>
          <w:color w:val="555555"/>
          <w:sz w:val="17"/>
        </w:rPr>
        <w:t xml:space="preserve">Zitiervorschlag: § 2 FischSeuchV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https://recht.nulegal.eu/gesetze/FischSeuchV%202008/2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