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FischSeuchV 2008 — Inverkehrbringen zur Weiterverarbeitung</w:t>
      </w:r>
    </w:p>
    <w:p>
      <w:r>
        <w:rPr>
          <w:color w:val="555555"/>
          <w:sz w:val="18"/>
        </w:rPr>
        <w:t xml:space="preserve">Fischseuchenverordnung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in Anlage 1 Spalte 3 bezeichneten Fische aus Aquakultur, die für eine der in Anlage 1 Spalte 1 Nummer 2 jeweils aufgeführten Seuchen empfänglich sind, und ihre Erzeugnisse dürfen zur Weiterverarbeitung in Schutzgebiete, die frei von diesen Seuchen sind, nur in den Verkehr gebracht werden, soweit</w:t>
      </w:r>
    </w:p>
    <w:p>
      <w:pPr>
        <w:ind w:left="420"/>
      </w:pPr>
      <w:r>
        <w:t xml:space="preserve">1. sie aus Schutzgebieten stammen, die frei von diesen Seuchen sind,</w:t>
      </w:r>
    </w:p>
    <w:p>
      <w:pPr>
        <w:ind w:left="420"/>
      </w:pPr>
      <w:r>
        <w:t xml:space="preserve">2. sie in einem zugelassenen Verarbeitungsbetrieb unter Bedingungen gehältert und verarbeitet werden, die eine Übertragung von Seuchenerregern verhindern,</w:t>
      </w:r>
    </w:p>
    <w:p>
      <w:pPr>
        <w:ind w:left="420"/>
      </w:pPr>
      <w:r>
        <w:t xml:space="preserve">3. Fische vor dem Versand getötet und ausgenommen werden oder</w:t>
      </w:r>
    </w:p>
    <w:p>
      <w:pPr>
        <w:ind w:left="420"/>
      </w:pPr>
      <w:r>
        <w:t xml:space="preserve">4. Weichtiere oder Krebstiere unverarbeitet oder als Verarbeitungserzeugnisse versandt werden.</w:t>
      </w:r>
    </w:p>
    <w:p>
      <w:r>
        <w:rPr>
          <w:color w:val="555555"/>
          <w:sz w:val="17"/>
        </w:rPr>
        <w:t xml:space="preserve">Zitiervorschlag: § 15 FischSeuchV 2008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https://recht.nulegal.eu/gesetze/FischSeuchV%202008/15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