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FischSeuchV 2008 — Tiergesundheitsbescheinigung</w:t>
      </w:r>
    </w:p>
    <w:p>
      <w:r>
        <w:rPr>
          <w:color w:val="555555"/>
          <w:sz w:val="18"/>
        </w:rPr>
        <w:t xml:space="preserve">Fischseuchenverordnung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Fische aus Aquakultur dürfen zum Zwecke der Zucht, Haltung und Hälterung, des Besatzes oder der weiteren Verarbeitung für den menschlichen Verzehr in</w:t>
      </w:r>
    </w:p>
    <w:p>
      <w:pPr>
        <w:ind w:left="420"/>
      </w:pPr>
      <w:r>
        <w:t xml:space="preserve">1. ein Schutzgebiet oder</w:t>
      </w:r>
    </w:p>
    <w:p>
      <w:pPr>
        <w:ind w:left="420"/>
      </w:pPr>
      <w:r>
        <w:t xml:space="preserve">2. ein Gebiet, für das ein von der Europäischen Kommission genehmigtes Überwachungs- oder Tilgungsprogramm nach Artikel 44 der Richtlinie 2006/88/EG besteht, das das Bundesministerium im Bundesanzeiger bekannt gemacht hat,</w:t>
      </w:r>
    </w:p>
    <w:p>
      <w:r>
        <w:t xml:space="preserve">nur verbracht werden, wenn sie von einer Tiergesundheitsbescheinigung nach dem Muster der Anlage 2 begleitet sind.</w:t>
      </w:r>
    </w:p>
    <w:p>
      <w:r>
        <w:t xml:space="preserve">(2) Absatz 1 gilt nicht für</w:t>
      </w:r>
    </w:p>
    <w:p>
      <w:pPr>
        <w:ind w:left="420"/>
      </w:pPr>
      <w:r>
        <w:t xml:space="preserve">1. Fische, die vor dem Versand getötet und ausgenommen worden sind, oder</w:t>
      </w:r>
    </w:p>
    <w:p>
      <w:pPr>
        <w:ind w:left="420"/>
      </w:pPr>
      <w:r>
        <w:t xml:space="preserve">2. Weichtiere und Krebstiere, die zum Zwecke der weiteren Verarbeitung für den menschlichen Verzehr unverarbeitet oder als Verarbeitungserzeugnis verbracht werden.</w:t>
      </w:r>
    </w:p>
    <w:p>
      <w:r>
        <w:rPr>
          <w:color w:val="555555"/>
          <w:sz w:val="17"/>
        </w:rPr>
        <w:t xml:space="preserve">Zitiervorschlag: § 13 FischSeuchV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https://recht.nulegal.eu/gesetze/FischSeuchV%202008/13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