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FischSeuchV 2008 — Impfverbot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Impfungen gegen die in Anlage 1 Spalte 1 Nr. 1 aufgeführten Seuchen (exotische Seuchen) sind verboten. Dies gilt nicht, soweit die Europäische Kommission Impfungen nach Artikel 42 oder Artikel 47 der Richtlinie 2006/88/EG genehmigt und das Bundesministerium dies im Bundesanzeiger bekannt gemacht hat.</w:t>
      </w:r>
    </w:p>
    <w:p>
      <w:r>
        <w:t xml:space="preserve">(2) Impfungen gegen die in Anlage 1 Spalte 1 Nr. 2 aufgeführten Seuchen (nicht exotische Seuchen) sind in einem von dieser nicht exotischen Seuche freien Schutzgebiet und in Betrieben, die einem Überwachungsprogramm nach Artikel 44 der Richtlinie 2006/88/EG unterliegen, verboten.</w:t>
      </w:r>
    </w:p>
    <w:p>
      <w:r>
        <w:t xml:space="preserve">(3) Abweichend von Absatz 1 Satz 1 und Absatz 2 kann die zuständige Behörde Impfungen für wissenschaftliche Studien zum Zwecke der Entwicklung und Testung von Impfstoffen genehmigen.</w:t>
      </w:r>
    </w:p>
    <w:p>
      <w:r>
        <w:rPr>
          <w:color w:val="555555"/>
          <w:sz w:val="17"/>
        </w:rPr>
        <w:t xml:space="preserve">Zitiervorschlag: § 11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