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FischRDV 1998</w:t>
      </w:r>
    </w:p>
    <w:p>
      <w:r>
        <w:rPr>
          <w:color w:val="555555"/>
          <w:sz w:val="18"/>
        </w:rPr>
        <w:t xml:space="preserve">Seefischerei-Bußgeldverordnung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9 Abs. 4 des Seefischereigesetzes vom 12. Juli 1984 (BGBl. I S. 876), der durch Artikel 23 Nr. 5 des Gesetzes vom 2. August 1994 (BGBl. I S. 2018) geändert worden ist, und des § 36 Abs. 3 des Gesetzes über Ordnungswidrigkeiten in der Fassung der Bekanntmachung vom 19. Februar 1987 (BGBl. I S. 602), der durch Artikel 1 Nr. 5 des Gesetzes vom 26. Januar 1998 (BGBl. I S. 156, 340) geändert worden ist, verordnet das Bundesministerium für Ernährung, Landwirtschaft und Forsten:</w:t>
      </w:r>
    </w:p>
    <w:p>
      <w:r>
        <w:rPr>
          <w:color w:val="555555"/>
          <w:sz w:val="17"/>
        </w:rPr>
        <w:t xml:space="preserve">Zitiervorschlag: Eingangsformel FischRDV 1998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https://recht.nulegal.eu/gesetze/FischRDV%201998/eingangsformel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