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FischRDV 1998 — Durchsetzung bestimmter Vorschriften der Delegierten Verordnung (EU) 2023/2623</w:t>
      </w:r>
    </w:p>
    <w:p>
      <w:r>
        <w:rPr>
          <w:color w:val="555555"/>
          <w:sz w:val="18"/>
        </w:rPr>
        <w:t xml:space="preserve">Seefischerei-Bußgeldverordnung</w:t>
      </w:r>
    </w:p>
    <w:p>
      <w:r>
        <w:rPr>
          <w:color w:val="555555"/>
          <w:sz w:val="18"/>
        </w:rPr>
        <w:t xml:space="preserve">Stand: 27.04.2024 (konsolidierte Textfassung, kein amtliches Inkrafttretensdatum)</w:t>
      </w:r>
    </w:p>
    <w:p>
      <w:r>
        <w:t xml:space="preserve">(1) Ordnungswidrig im Sinne des § 18 Absatz 2 Nummer 11 Buchstabe a des Seefischereigesetzes handelt, wer gegen die Delegierte Verordnung (EU) 2023/2623 der Kommission vom 22. August 2023 zur Ergänzung der Verordnung (EU) 2019/472 des Europäischen Parlaments und des Rates durch eine Präzisierung der Anlandeverpflichtung für bestimmte Fischereien in den westlichen Gewässern im Zeitraum 2024-2027 (ABl. L, 2023/2623, 22.11.2023) verstößt, indem er vorsätzlich oder fahrlässig</w:t>
      </w:r>
    </w:p>
    <w:p>
      <w:pPr>
        <w:ind w:left="420"/>
      </w:pPr>
      <w:r>
        <w:t xml:space="preserve">1. als Kapitän entgegen Artikel 3 Absatz 3, Artikel 4 Absatz 2, Artikel 5 Absatz 3, Artikel 6 Absatz 2, Artikel 7 Absatz 2, Artikel 9 Absatz 2, Artikel 10 Absatz 2 oder Artikel 11 Absatz 2 einen Rückwurf nicht, nicht richtig, nicht vollständig oder nicht rechtzeitig freisetzt oder</w:t>
      </w:r>
    </w:p>
    <w:p>
      <w:pPr>
        <w:ind w:left="420"/>
      </w:pPr>
      <w:r>
        <w:t xml:space="preserve">2. entgegen Artikel 8 Absatz 4 eine Makrele oder einen Hering freisetzt.</w:t>
      </w:r>
    </w:p>
    <w:p>
      <w:r>
        <w:t xml:space="preserve">(2) Ordnungswidrig im Sinne des § 18 Absatz 2 Nummer 11 Buchstabe b des Seefischereigesetzes handelt, wer entgegen Artikel 15 der Delegierten Verordnung (EU) 2023/2623 in Verbindung mit Artikel 14 Absatz 1 in Verbindung mit Absatz 2, 4 oder 5, jeweils auch in Verbindung mit Absatz 8, der Verordnung (EG) 1224/2009 eine Eintragung nicht, nicht richtig, nicht vollständig oder nicht unverzüglich nach Entnahme der Probe vornimmt.</w:t>
      </w:r>
    </w:p>
    <w:p>
      <w:r>
        <w:rPr>
          <w:color w:val="555555"/>
          <w:sz w:val="17"/>
        </w:rPr>
        <w:t xml:space="preserve">Zitiervorschlag: § 36 FischRDV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https://recht.nulegal.eu/gesetze/FischRDV%201998/36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FischRDV 1998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