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FischNATÜbkG</w:t>
      </w:r>
    </w:p>
    <w:p>
      <w:r>
        <w:rPr>
          <w:color w:val="555555"/>
          <w:sz w:val="18"/>
        </w:rPr>
        <w:t xml:space="preserve">Gesetz zu dem Übereinkommen vom 1. Juni 1967 über das Verhalten beim Fischfang im Nordatlantik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am Tag nach seiner Verkündung in Kraft.</w:t>
      </w:r>
    </w:p>
    <w:p>
      <w:r>
        <w:t xml:space="preserve">(2)</w:t>
      </w:r>
    </w:p>
    <w:p>
      <w:r>
        <w:t xml:space="preserve">(3)</w:t>
      </w:r>
    </w:p>
    <w:p>
      <w:r>
        <w:rPr>
          <w:color w:val="555555"/>
          <w:sz w:val="17"/>
        </w:rPr>
        <w:t xml:space="preserve">Zitiervorschlag: Art 8 FischNATÜbkG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https://recht.nulegal.eu/gesetze/FischNAT%C3%9CbkG/8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