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FischNATÜbkG</w:t>
      </w:r>
    </w:p>
    <w:p>
      <w:r>
        <w:rPr>
          <w:color w:val="555555"/>
          <w:sz w:val="18"/>
        </w:rPr>
        <w:t xml:space="preserve">Gesetz zu dem Übereinkommen vom 1. Juni 1967 über das Verhalten beim Fischfang im Nordatlantik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als Eigentümer, Besitzer oder Führer eines Fischereifahrzeugs einer Vorschrift der Regel 1 Abs. 1, 2 oder 3 der Anlage II des Übereinkommens über das Aufmalen der Buchstaben, der Nummer und des Namens des Fischereifahrzeugs oder deren Erkennbarkeit,</w:t>
      </w:r>
    </w:p>
    <w:p>
      <w:pPr>
        <w:ind w:left="420"/>
      </w:pPr>
      <w:r>
        <w:t xml:space="preserve">2. als Führer eines Fischereifahrzeugs</w:t>
      </w:r>
    </w:p>
    <w:p>
      <w:pPr>
        <w:ind w:left="780"/>
      </w:pPr>
      <w:r>
        <w:t xml:space="preserve">a) der Regel 2 Abs. 1 der Anlage II des Übereinkommens über das Mitführen der Urkunde an Bord,</w:t>
      </w:r>
    </w:p>
    <w:p>
      <w:pPr>
        <w:ind w:left="780"/>
      </w:pPr>
      <w:r>
        <w:t xml:space="preserve">b) einer Vorschrift der Regel 1 Abs. 2 Satz 1, Abs. 4 Satz 1, der Regel 2 Abs. 1 und 3 oder der Regel 3 Abs. 1 der Anlage III des Übereinkommens über das Führen, Zeigen oder Setzen von Lichtern, der Flagge oder eines Scheinwerfers,</w:t>
      </w:r>
    </w:p>
    <w:p>
      <w:pPr>
        <w:ind w:left="780"/>
      </w:pPr>
      <w:r>
        <w:t xml:space="preserve">c) der Vorschrift der Regel 4 der Anlage III des Übereinkommens über das Benutzen von Schallsignalen,</w:t>
      </w:r>
    </w:p>
    <w:p>
      <w:pPr>
        <w:ind w:left="780"/>
      </w:pPr>
      <w:r>
        <w:t xml:space="preserve">d) einer Vorschrift der Regel 1 Abs. 1, Abs. 2 Satz 1 und 2, Abs. 3 und 5 oder der Regel 2 Abs. 1 der Anlage IV des Übereinkommens über die Kennzeichnung von Netzen, Leinen und sonstigen Geräten,</w:t>
      </w:r>
    </w:p>
    <w:p>
      <w:pPr>
        <w:ind w:left="420"/>
      </w:pPr>
      <w:r>
        <w:t xml:space="preserve">3. als Führer eines Fahrzeugs einer Vorschrift der Regeln 2 bis 6 und 7 Abs. 1, 2, 1. Halbsatz, und Abs. 3 der Anlage V des Übereinkommens über das Verhalten der Fahrzeuge,</w:t>
      </w:r>
    </w:p>
    <w:p>
      <w:pPr>
        <w:ind w:left="420"/>
      </w:pPr>
      <w:r>
        <w:t xml:space="preserve">4. einer Rechtsverordnung nach Artikel 2 Abs. 1 oder Abs. 3 Nr. 2, soweit sie für einen bestimmten Tatbestand auf diese Bußgeldvorschrift verweist,</w:t>
      </w:r>
    </w:p>
    <w:p>
      <w:r>
        <w:t xml:space="preserve">zuwiderhandelt.</w:t>
      </w:r>
    </w:p>
    <w:p>
      <w:r>
        <w:t xml:space="preserve">(2) Die Ordnungswidrigkeit kann in den Fällen des Absatzes 1 Nr. 1, 2 Buchstabe a und Nr. 4, soweit die Rechtsverordnung auf Grund des Artikels 2 Abs. 3 Nr. 2 erlassen ist, mit einer Geldbuße bis zu tausendfünfhundert Euro, in den Fällen des Absatzes 1 Nr. 2 Buchstabe b bis d, Nr. 3 und Nr. 4, soweit die Rechtsverordnung auf Grund des Artikels 2 Abs. 1 erlassen ist, mit einer Geldbuße bis zu fünftausend Euro geahndet werden.</w:t>
      </w:r>
    </w:p>
    <w:p>
      <w:r>
        <w:t xml:space="preserve">(3) Verwaltungsbehörde im Sinne des § 36 Abs. 1 Nr. 1 des Gesetzes über Ordnungswidrigkeiten sind</w:t>
      </w:r>
    </w:p>
    <w:p>
      <w:pPr>
        <w:ind w:left="420"/>
      </w:pPr>
      <w:r>
        <w:t xml:space="preserve">1. die nach Landesrecht zuständigen Behörden bei Ordnungswidrigkeiten nach Absatz 1 Nr. 1, 2 Buchstabe a, Nr. 3 und Nr. 4 in Verbindung mit Artikel 2 Abs. 3 Nr. 2, die binnenwärts der seewärtigen Begrenzung des Küstenmeeres begangen worden sind,</w:t>
      </w:r>
    </w:p>
    <w:p>
      <w:pPr>
        <w:ind w:left="420"/>
      </w:pPr>
      <w:r>
        <w:t xml:space="preserve">2. das Bundesministerium für Verkehr und digitale Infrastruktur in den übrigen Fällen; es kann seine Zuständigkeit durch Rechtsverordnung ohne Zustimmung des Bundesrates auf nachgeordnete Behörden seines Bereiches übertragen.</w:t>
      </w:r>
    </w:p>
    <w:p>
      <w:r>
        <w:rPr>
          <w:color w:val="555555"/>
          <w:sz w:val="17"/>
        </w:rPr>
        <w:t xml:space="preserve">Zitiervorschlag: Art 6 FischNATÜbkG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https://recht.nulegal.eu/gesetze/FischNAT%C3%9CbkG/6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