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FischEtikettV — Inkrafttreten</w:t>
      </w:r>
    </w:p>
    <w:p>
      <w:r>
        <w:rPr>
          <w:color w:val="555555"/>
          <w:sz w:val="18"/>
        </w:rPr>
        <w:t xml:space="preserve">Fischetikettierungsverordnung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Verordnung tritt am Tage nach der Verkündung in Kraft.</w:t>
      </w:r>
    </w:p>
    <w:p>
      <w:r>
        <w:rPr>
          <w:color w:val="555555"/>
          <w:sz w:val="17"/>
        </w:rPr>
        <w:t xml:space="preserve">Zitiervorschlag: § 8 FischEtikettV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https://recht.nulegal.eu/gesetze/FischEtikettV/8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