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FischEtikettV — Zuständige Verwaltungsbehörde</w:t>
      </w:r>
    </w:p>
    <w:p>
      <w:r>
        <w:rPr>
          <w:color w:val="555555"/>
          <w:sz w:val="18"/>
        </w:rPr>
        <w:t xml:space="preserve">Fischetikettierungsverordnung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für die Verfolgung und Ahndung von Ordnungswidrigkeiten nach § 8 des Fischetikettierungsgesetzes und nach § 6 dieser Verordnung wird auf die Bundesanstalt übertragen, soweit sie nach § 4 Satz 1 Nr. 1 des Fischetikettierungsgesetzes für die Überwachung zuständig ist.</w:t>
      </w:r>
    </w:p>
    <w:p>
      <w:r>
        <w:rPr>
          <w:color w:val="555555"/>
          <w:sz w:val="17"/>
        </w:rPr>
        <w:t xml:space="preserve">Zitiervorschlag: § 7 FischEtikettV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https://recht.nulegal.eu/gesetze/FischEtikettV/7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