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FischEtikettV — Begriffsbestimmung</w:t>
      </w:r>
    </w:p>
    <w:p>
      <w:r>
        <w:rPr>
          <w:color w:val="555555"/>
          <w:sz w:val="18"/>
        </w:rPr>
        <w:t xml:space="preserve">Fischetikettierungsverordnung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sind Fischereierzeugnisse und Aquakulturerzeugnisse die von Artikel 2 der Verordnung (EU) Nr. 1379/2013 des Europäischen Parlaments und des Rates vom 11. Dezember 2013 über die gemeinsame Marktorganisation für Erzeugnisse der Fischerei und der Aquakultur, zur Änderung der Verordnungen (EG) Nr. 1184/2006 und (EG) Nr. 1224/2009 des Rates und zur Aufhebung der Verordnung (EG) Nr. 104/2000 des Rates(ABl. L 354 vom 28.12.2013, S. 1) in der jeweils geltenden Fassung erfassten Fische, Krebs- und Weichtiere, Algen und Tange sowie die daraus gewonnenen Erzeugnisse.</w:t>
      </w:r>
    </w:p>
    <w:p>
      <w:r>
        <w:rPr>
          <w:color w:val="555555"/>
          <w:sz w:val="17"/>
        </w:rPr>
        <w:t xml:space="preserve">Zitiervorschlag: § 2 FischEtikettV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https://recht.nulegal.eu/gesetze/FischEtikettV/2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