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FischEtikettV — Anwendungsbereich</w:t>
      </w:r>
    </w:p>
    <w:p>
      <w:r>
        <w:rPr>
          <w:color w:val="555555"/>
          <w:sz w:val="18"/>
        </w:rPr>
        <w:t xml:space="preserve">Fischetikettierungsverordnung</w:t>
      </w:r>
    </w:p>
    <w:p>
      <w:r>
        <w:rPr>
          <w:color w:val="555555"/>
          <w:sz w:val="18"/>
        </w:rPr>
        <w:t xml:space="preserve">Stand: 10.06.2019 (konsolidierte Textfassung, kein amtliches Inkrafttretensdatum)</w:t>
      </w:r>
    </w:p>
    <w:p>
      <w:r>
        <w:t xml:space="preserve">Die Vorschriften dieser Verordnung gelten für die Durchführung der Verordnungen der Organe der Europäischen Union über die gemeinsame Marktorganisation für Erzeugnisse der Fischerei und der Aquakultur hinsichtlich der Etikettierung von Fischereierzeugnissen und Aquakulturerzeugnissen.</w:t>
      </w:r>
    </w:p>
    <w:p>
      <w:r>
        <w:rPr>
          <w:color w:val="555555"/>
          <w:sz w:val="17"/>
        </w:rPr>
        <w:t xml:space="preserve">Zitiervorschlag: § 1 FischEtikettV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https://recht.nulegal.eu/gesetze/FischEtikettV/1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