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FischEtikettG — Einziehung</w:t>
      </w:r>
    </w:p>
    <w:p>
      <w:r>
        <w:rPr>
          <w:color w:val="555555"/>
          <w:sz w:val="18"/>
        </w:rPr>
        <w:t xml:space="preserve">Fischetikettierungsgesetz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Ist eine Ordnungswidrigkeit nach § 8 Abs. 1 begangen worden, so können Gegenstände, auf die sich die Ordnungswidrigkeit bezieht, und Gegenstände, die zu ihrer Begehung oder Vorbereitung gebraucht worden oder bestimmt gewesen sind, eingezogen werden. § 23 des Gesetzes über Ordnungswidrigkeiten ist anzuwenden.</w:t>
      </w:r>
    </w:p>
    <w:p>
      <w:r>
        <w:rPr>
          <w:color w:val="555555"/>
          <w:sz w:val="17"/>
        </w:rPr>
        <w:t xml:space="preserve">Zitiervorschlag: § 9 FischEtikettG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https://recht.nulegal.eu/gesetze/FischEtikettG/9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