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FischEtikettG — Bußgeldvorschriften</w:t>
      </w:r>
    </w:p>
    <w:p>
      <w:r>
        <w:rPr>
          <w:color w:val="555555"/>
          <w:sz w:val="18"/>
        </w:rPr>
        <w:t xml:space="preserve">Fischetikettierungsgesetz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Rechtsverordnung nach</w:t>
      </w:r>
    </w:p>
    <w:p>
      <w:pPr>
        <w:ind w:left="780"/>
      </w:pPr>
      <w:r>
        <w:t xml:space="preserve">a) § 3 Abs. 1 Satz 1 Nr. 1 Buchstabe a,</w:t>
      </w:r>
    </w:p>
    <w:p>
      <w:pPr>
        <w:ind w:left="780"/>
      </w:pPr>
      <w:r>
        <w:t xml:space="preserve">b) § 3 Absatz 1 Satz 1 Nummer 1 Buchstabe b oder Buchstabe c oder Nr. 2 Buchstabe a oder d oder § 5 Abs. 5 oder</w:t>
      </w:r>
    </w:p>
    <w:p>
      <w:pPr>
        <w:ind w:left="780"/>
      </w:pPr>
      <w:r>
        <w:t xml:space="preserve">c) § 6 Abs. 2 Satz 1</w:t>
      </w:r>
    </w:p>
    <w:p>
      <w:pPr>
        <w:ind w:left="420"/>
      </w:pPr>
      <w:r>
        <w:t xml:space="preserve">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2. einer vollziehbaren Anordnung nach § 5 Abs. 1 zuwiderhandelt,</w:t>
      </w:r>
    </w:p>
    <w:p>
      <w:pPr>
        <w:ind w:left="420"/>
      </w:pPr>
      <w:r>
        <w:t xml:space="preserve">3. entgegen § 5 Abs. 3 eine dort genannte Maßnahme nicht duldet oder bei der Besichtigung nicht mitwirkt oder</w:t>
      </w:r>
    </w:p>
    <w:p>
      <w:pPr>
        <w:ind w:left="420"/>
      </w:pPr>
      <w:r>
        <w:t xml:space="preserve">4. einer unmittelbar geltenden Vorschrift in Rechtsakten der Europäischen Union im Anwendungsbereich des § 1 Abs. 1 zuwiderhandelt, soweit eine Rechtsverordnung nach Absatz 3 für einen bestimmten Tatbestand auf diese Bußgeldvorschrift verweist.</w:t>
      </w:r>
    </w:p>
    <w:p>
      <w:r>
        <w:t xml:space="preserve">(2) Die Ordnungswidrigkeit kann in den Fällen des Absatzes 1 Nr. 1 Buchstabe a und Nr. 4 mit einer Geldbuße bis zu dreißigtausend Euro, in den Fällen des Absatzes 1 Nr. 1 Buchstabe b mit einer Geldbuße bis zu zehntausend Euro und in den Fällen des Absatzes 1 Nr. 1 Buchstabe c und Nr. 2 und 3 mit einer Geldbuße bis zu fünftausend Euro geahndet werden.</w:t>
      </w:r>
    </w:p>
    <w:p>
      <w:r>
        <w:t xml:space="preserve">(3) Das Bundesministerium wird ermächtigt, soweit dies zur Durchsetzung der Rechtsakte der Europäischen Union erforderlich ist, durch Rechtsverordnung ohne Zustimmung des Bundesrates die Tatbestände zu bezeichnen, die als Ordnungswidrigkeit nach Absatz 1 Nr. 4 geahndet werden können.</w:t>
      </w:r>
    </w:p>
    <w:p>
      <w:r>
        <w:rPr>
          <w:color w:val="555555"/>
          <w:sz w:val="17"/>
        </w:rPr>
        <w:t xml:space="preserve">Zitiervorschlag: § 8 FischEtikettG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https://recht.nulegal.eu/gesetze/FischEtikettG/8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FischEtikettG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