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FischEtikettG — Zuständigkeit für die Überwachung</w:t>
      </w:r>
    </w:p>
    <w:p>
      <w:r>
        <w:rPr>
          <w:color w:val="555555"/>
          <w:sz w:val="18"/>
        </w:rPr>
        <w:t xml:space="preserve">Fischetikettierungsgesetz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Überwachung der Einhaltung der Rechtsakte der Europäischen Union im Anwendungsbereich des § 1 Abs. 1 dieses Gesetzes sowie die Einhaltung der Überwachung dieses Gesetzes und der nach diesem Gesetz erlassenen Rechtsverordnungen obliegt</w:t>
      </w:r>
    </w:p>
    <w:p>
      <w:pPr>
        <w:ind w:left="420"/>
      </w:pPr>
      <w:r>
        <w:t xml:space="preserve">1. der Bundesanstalt für Landwirtschaft und Ernährung außerhalb der verbindlichen Anlandeorte nach Anlage 3 der Seefischereiverordnung, solange die Fische oder Fischereierzeugnisse unter zollamtlicher Überwachung sind,</w:t>
      </w:r>
    </w:p>
    <w:p>
      <w:pPr>
        <w:ind w:left="420"/>
      </w:pPr>
      <w:r>
        <w:t xml:space="preserve">2. im Übrigen den nach Landesrecht zuständigen Behörden.</w:t>
      </w:r>
    </w:p>
    <w:p>
      <w:r>
        <w:t xml:space="preserve">§ 3 Abs. 1 Satz 2 bleibt unberührt.</w:t>
      </w:r>
    </w:p>
    <w:p>
      <w:r>
        <w:rPr>
          <w:color w:val="555555"/>
          <w:sz w:val="17"/>
        </w:rPr>
        <w:t xml:space="preserve">Zitiervorschlag: § 4 FischEtikettG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