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FischEtikettG — Begriffsbestimmungen</w:t>
      </w:r>
    </w:p>
    <w:p>
      <w:r>
        <w:rPr>
          <w:color w:val="555555"/>
          <w:sz w:val="18"/>
        </w:rPr>
        <w:t xml:space="preserve">Fischetikettierungsgesetz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sind</w:t>
      </w:r>
    </w:p>
    <w:p>
      <w:pPr>
        <w:ind w:left="420"/>
      </w:pPr>
      <w:r>
        <w:t xml:space="preserve">1. Etikettierung:</w:t>
      </w:r>
    </w:p>
    <w:p>
      <w:pPr>
        <w:ind w:left="780"/>
      </w:pPr>
      <w:r>
        <w:t xml:space="preserve">a) die Anbringung eines Etiketts oder sonstigen Kennzeichnung an einen oder mehrere Fische oder Fischereierzeugnisse oder Teile von ihnen oder an ihre Verpackung oder ihre sonstigen Behältnisse oder</w:t>
      </w:r>
    </w:p>
    <w:p>
      <w:pPr>
        <w:ind w:left="780"/>
      </w:pPr>
      <w:r>
        <w:t xml:space="preserve">b) Verwenden eines Lieferscheines oder vergleichbarer Bescheinigungen für eine Sendung von Fischen oder Fischereierzeugnissen auf jeder Handelsstufe - ausgenommen im Falle der Abgabe an den Endverbraucher - oder</w:t>
      </w:r>
    </w:p>
    <w:p>
      <w:pPr>
        <w:ind w:left="780"/>
      </w:pPr>
      <w:r>
        <w:t xml:space="preserve">c) im Falle nicht vorverpackter Fische oder Fischereierzeugnisse auf der Stufe des Einzelhandels schriftliche und deutlich sichtbare Angaben für den Verbraucher am Ort der Abgabe;</w:t>
      </w:r>
    </w:p>
    <w:p>
      <w:pPr>
        <w:ind w:left="420"/>
      </w:pPr>
      <w:r>
        <w:t xml:space="preserve">2. Produktionsmethode:Fang von Fischen in der See oder in Binnengewässern oder Erzeugung von Fischen in der Aquakultur.</w:t>
      </w:r>
    </w:p>
    <w:p>
      <w:r>
        <w:rPr>
          <w:color w:val="555555"/>
          <w:sz w:val="17"/>
        </w:rPr>
        <w:t xml:space="preserve">Zitiervorschlag: § 2 FischEtikettG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https://recht.nulegal.eu/gesetze/FischEtikettG/2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