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FischEtikettG — Inkrafttreten</w:t>
      </w:r>
    </w:p>
    <w:p>
      <w:r>
        <w:rPr>
          <w:color w:val="555555"/>
          <w:sz w:val="18"/>
        </w:rPr>
        <w:t xml:space="preserve">Fischetikettierungsgesetz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Dieses Gesetz tritt am Tage nach der Verkündung in Kraft.</w:t>
      </w:r>
    </w:p>
    <w:p>
      <w:r>
        <w:rPr>
          <w:color w:val="555555"/>
          <w:sz w:val="17"/>
        </w:rPr>
        <w:t xml:space="preserve">Zitiervorschlag: § 10 FischEtikettG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https://recht.nulegal.eu/gesetze/FischEtikettG/10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