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FischEtikettG — Anwendungsbereich</w:t>
      </w:r>
    </w:p>
    <w:p>
      <w:r>
        <w:rPr>
          <w:color w:val="555555"/>
          <w:sz w:val="18"/>
        </w:rPr>
        <w:t xml:space="preserve">Fischetikettierungsgesetz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dient der Durchführung der Vorschriften zur Verbraucherinformation und Etikettierung von Fischen und Fischereierzeugnissen nach den Artikeln 35 bis 39 der Verordnung (EU) Nr. 1379/2013 des Europäischen Parlaments und des Rates vom 11. Dezember 2013 über die gemeinsame Marktorganisation für Erzeugnisse der Fischerei und der Aquakultur, zur Änderung der Verordnungen (EG) Nr. 1184/2006 und (EG) Nr. 1224/2009 des Rates und zur Aufhebung der Verordnung (EG) Nr. 104/2000 des Rates (ABl. L 354 vom 28.12.2013, S. 1) und der zu seiner Durchführung erlassenen Gemeinschaftsvorschriften in der jeweils geltenden Fassung.</w:t>
      </w:r>
    </w:p>
    <w:p>
      <w:r>
        <w:t xml:space="preserve">(2) Sonstige Vorschriften über die Kennzeichnung oder Etikettierung von Fischen und Fischereierzeugnissen bleiben unberührt.</w:t>
      </w:r>
    </w:p>
    <w:p>
      <w:r>
        <w:rPr>
          <w:color w:val="555555"/>
          <w:sz w:val="17"/>
        </w:rPr>
        <w:t xml:space="preserve">Zitiervorschlag: § 1 FischEtikettG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https://recht.nulegal.eu/gesetze/FischEtikettG/1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