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FischEtiZV (Brandenburg)</w:t>
      </w:r>
    </w:p>
    <w:p>
      <w:r>
        <w:rPr>
          <w:color w:val="555555"/>
          <w:sz w:val="18"/>
        </w:rPr>
        <w:t xml:space="preserve">Fischetikettierungszuständigkeitsverordnung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Verwaltungsbehörden für die Verfolgung und Ahndung</w:t>
      </w:r>
    </w:p>
    <w:p>
      <w:r>
        <w:t xml:space="preserve">von Ordnungswidrigkeiten nach § 8 des Fischetikettierungsgesetzes sind</w:t>
      </w:r>
    </w:p>
    <w:p>
      <w:r>
        <w:t xml:space="preserve">jeweils die in § 1 Satz 1 genannten Behörden.</w:t>
      </w:r>
    </w:p>
    <w:p>
      <w:r>
        <w:rPr>
          <w:color w:val="555555"/>
          <w:sz w:val="17"/>
        </w:rPr>
        <w:t xml:space="preserve">Zitiervorschlag: § 2 FischEtiZV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