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FischEtiZV (Brandenburg)</w:t>
      </w:r>
    </w:p>
    <w:p>
      <w:r>
        <w:rPr>
          <w:color w:val="555555"/>
          <w:sz w:val="18"/>
        </w:rPr>
        <w:t xml:space="preserve">Fischetikettierungszuständigkeitsverordnung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 Behörden im Sinne des § 4 Satz 1 Nr. 2 des</w:t>
      </w:r>
    </w:p>
    <w:p>
      <w:r>
        <w:t xml:space="preserve">Fischetikettierungsgesetzes sind die Landkreise und kreisfreien Städte.</w:t>
      </w:r>
    </w:p>
    <w:p>
      <w:r>
        <w:t xml:space="preserve">Sie führen diese Aufgaben als Pflichtaufgaben zur Erfüllung nach</w:t>
      </w:r>
    </w:p>
    <w:p>
      <w:r>
        <w:t xml:space="preserve">Weisung durch. Gemäß § 16 Abs. 2 Satz 2 des</w:t>
      </w:r>
    </w:p>
    <w:p>
      <w:r>
        <w:t xml:space="preserve">Landesorganisationsgesetzes und</w:t>
      </w:r>
    </w:p>
    <w:p>
      <w:r>
        <w:t xml:space="preserve">§ 121 der Kommunalverfassung des Landes Brandenburg nimmt die</w:t>
      </w:r>
    </w:p>
    <w:p>
      <w:r>
        <w:t xml:space="preserve">für den Verbraucherschutz zuständige oberste Landesbehörde die</w:t>
      </w:r>
    </w:p>
    <w:p>
      <w:r>
        <w:t xml:space="preserve">Sonderaufsicht über die Landkreise und kreisfreien Städte wahr.</w:t>
      </w:r>
    </w:p>
    <w:p>
      <w:r>
        <w:rPr>
          <w:color w:val="555555"/>
          <w:sz w:val="17"/>
        </w:rPr>
        <w:t xml:space="preserve">Zitiervorschlag: § 1 FischEtiZV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