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FischDNKVtrG</w:t>
      </w:r>
    </w:p>
    <w:p>
      <w:r>
        <w:rPr>
          <w:color w:val="555555"/>
          <w:sz w:val="18"/>
        </w:rPr>
        <w:t xml:space="preserve">Gesetz zu dem Abkommen vom 29. Mai 1958 zwischen der Bundesrepublik Deutschland und dem Königreich Dänemark über die gemeinsame Fischerei in der Flensburger Innenförde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 des Landes Schleswig-Holstein wird ermächtigt, durch Rechtsverordnungen die Vorschriften nach Artikel 4 Abs. 1 Satz 1 des Abkommens zu erlassen.</w:t>
      </w:r>
    </w:p>
    <w:p>
      <w:r>
        <w:rPr>
          <w:color w:val="555555"/>
          <w:sz w:val="17"/>
        </w:rPr>
        <w:t xml:space="preserve">Zitiervorschlag: Art 2 FischDNKVtrG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https://recht.nulegal.eu/gesetze/FischDNKVtrG/2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