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Fisch-BuV (Brandenburg)</w:t>
      </w:r>
    </w:p>
    <w:p>
      <w:r>
        <w:rPr>
          <w:color w:val="555555"/>
          <w:sz w:val="18"/>
        </w:rPr>
        <w:t xml:space="preserve">Fischereibuchverordnung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Einsicht in das Fischereibuch ist jedem gestattet, der ein</w:t>
      </w:r>
    </w:p>
    <w:p>
      <w:r>
        <w:t xml:space="preserve">berechtigtes Interesse darlegt. Dies gilt auch für Urkunden, auf die im</w:t>
      </w:r>
    </w:p>
    <w:p>
      <w:r>
        <w:t xml:space="preserve">Fischereibuch zur Ergänzung einer Eintragung Bezug genommen wird. Auf</w:t>
      </w:r>
    </w:p>
    <w:p>
      <w:r>
        <w:t xml:space="preserve">Verlangen sind beglaubigte Ablichtungen zu fertigen.</w:t>
      </w:r>
    </w:p>
    <w:p>
      <w:r>
        <w:rPr>
          <w:color w:val="555555"/>
          <w:sz w:val="17"/>
        </w:rPr>
        <w:t xml:space="preserve">Zitiervorschlag: § 5 Fisch-BuV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https://recht.nulegal.eu/gesetze/Fisch-BuV/5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