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Fisch-BuV (Brandenburg)</w:t>
      </w:r>
    </w:p>
    <w:p>
      <w:r>
        <w:rPr>
          <w:color w:val="555555"/>
          <w:sz w:val="18"/>
        </w:rPr>
        <w:t xml:space="preserve">Fischereibuchverordnung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Eintragungen der Fischereirechte erfolgen auf</w:t>
      </w:r>
    </w:p>
    <w:p>
      <w:r>
        <w:t xml:space="preserve">schriftlichen Antrag. Antragsberechtigt ist jeder, zu dessen Gunsten die</w:t>
      </w:r>
    </w:p>
    <w:p>
      <w:r>
        <w:t xml:space="preserve">Eintragung erfolgen soll. Berichtigungen können von Amts wegen vorgenommen</w:t>
      </w:r>
    </w:p>
    <w:p>
      <w:r>
        <w:t xml:space="preserve">werden.</w:t>
      </w:r>
    </w:p>
    <w:p>
      <w:r>
        <w:t xml:space="preserve">(2) Der Antragsteller hat die für die Glaubhaftmachung</w:t>
      </w:r>
    </w:p>
    <w:p>
      <w:r>
        <w:t xml:space="preserve">des Fischereirechtes erforderlichen Unterlagen beizubringen.</w:t>
      </w:r>
    </w:p>
    <w:p>
      <w:r>
        <w:rPr>
          <w:color w:val="555555"/>
          <w:sz w:val="17"/>
        </w:rPr>
        <w:t xml:space="preserve">Zitiervorschlag: § 3 Fisch-BuV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https://recht.nulegal.eu/gesetze/Fisch-BuV/3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