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Fisch-BuV (Brandenburg)</w:t>
      </w:r>
    </w:p>
    <w:p>
      <w:r>
        <w:rPr>
          <w:color w:val="555555"/>
          <w:sz w:val="18"/>
        </w:rPr>
        <w:t xml:space="preserve">Fischereibuchverordnung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Fischereibuch wird nach einem vom Ministerium für</w:t>
      </w:r>
    </w:p>
    <w:p>
      <w:r>
        <w:t xml:space="preserve">Ernährung, Landwirtschaft und Forsten bestimmten Muster in Loseblattform</w:t>
      </w:r>
    </w:p>
    <w:p>
      <w:r>
        <w:t xml:space="preserve">geführt. Jedes Fischereirecht erhält ein gesondertes Blatt.</w:t>
      </w:r>
    </w:p>
    <w:p>
      <w:r>
        <w:rPr>
          <w:color w:val="555555"/>
          <w:sz w:val="17"/>
        </w:rPr>
        <w:t xml:space="preserve">Zitiervorschlag: § 2 Fisch-BuV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https://recht.nulegal.eu/gesetze/Fisch-BuV/2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