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Fisch-BuV (Brandenburg)</w:t>
      </w:r>
    </w:p>
    <w:p>
      <w:r>
        <w:rPr>
          <w:color w:val="555555"/>
          <w:sz w:val="18"/>
        </w:rPr>
        <w:t xml:space="preserve">Fischereibuchverordnung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Zuständige Behörde für die Einrichtung und</w:t>
      </w:r>
    </w:p>
    <w:p>
      <w:r>
        <w:t xml:space="preserve">Führung des Fischereibuches ist das Landesamt für Ernährung,</w:t>
      </w:r>
    </w:p>
    <w:p>
      <w:r>
        <w:t xml:space="preserve">Landwirtschaft und Flurneuordnung.</w:t>
      </w:r>
    </w:p>
    <w:p>
      <w:r>
        <w:rPr>
          <w:color w:val="555555"/>
          <w:sz w:val="17"/>
        </w:rPr>
        <w:t xml:space="preserve">Zitiervorschlag: § 1 Fisch-BuV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https://recht.nulegal.eu/gesetze/Fisch-BuV/1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