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FintMechAusbV — Staatliche Anerkennung des Ausbildungsberufes</w:t>
      </w:r>
    </w:p>
    <w:p>
      <w:r>
        <w:rPr>
          <w:color w:val="555555"/>
          <w:sz w:val="18"/>
        </w:rPr>
        <w:t xml:space="preserve">Fahrzeuginterieur-Mechaniker-Ausbildungsverordnung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Der Ausbildungsberuf des Fahrzeuginterieur-Mechanikers und der Fahrzeuginterieur-Mechanikerin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FintMechAusbV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https://recht.nulegal.eu/gesetze/FintMechAusbV/1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