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Finow (Brandenburg) — Sicherung und Kennzeichnung des Wasserschutzgebietes</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vom Begünstigten auf Anordnung der unteren Wasserbehörde gegen unbefugtes Betreten, zum Beispiel durch eine Umzäunung, zu sichern.</w:t>
      </w:r>
    </w:p>
    <w:p>
      <w:r>
        <w:t xml:space="preserve">(2) Der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rPr>
          <w:color w:val="555555"/>
          <w:sz w:val="17"/>
        </w:rPr>
        <w:t xml:space="preserve">Zitiervorschlag: § 9 Finow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