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Finow (Brandenburg) — Allgemeines</w:t>
      </w:r>
    </w:p>
    <w:p>
      <w:r>
        <w:rPr>
          <w:color w:val="555555"/>
          <w:sz w:val="18"/>
        </w:rPr>
        <w:t xml:space="preserve">Verordnung zur Festsetzung des Wasserschutzgebietes Eberswalde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Sicherung der öffentlichen Wasserversorgung wird zum Schutz des Grundwassers im Einzugsgebiet des Wasserwerkes Finow das in § 2 näher umschriebene Wasserschutzgebiet festgesetzt. Begünstigter ist der Zweckverband für Wasserversorgung und Abwasserentsorgung Eberswalde.</w:t>
      </w:r>
    </w:p>
    <w:p>
      <w:r>
        <w:t xml:space="preserve">(2) Das Wasserschutzgebiet gliedert sich in den Fassungsbereich (Zone I), in die engere Schutzzone (Zone II) und in die weitere Schutzzone (Zone III). Die Zone III unterteilt sich in die Zone III A und die Zone III B.</w:t>
      </w:r>
    </w:p>
    <w:p>
      <w:r>
        <w:rPr>
          <w:color w:val="555555"/>
          <w:sz w:val="17"/>
        </w:rPr>
        <w:t xml:space="preserve">Zitiervorschlag: § 1 Finow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https://recht.nulegal.eu/gesetze/Finow/1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