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FinanzVO StrUG (Nordrhein-Westfalen)</w:t>
      </w:r>
    </w:p>
    <w:p>
      <w:r>
        <w:rPr>
          <w:color w:val="555555"/>
          <w:sz w:val="18"/>
        </w:rPr>
        <w:t xml:space="preserve">Finanzierungsverordnung StrUG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Minister für Arbeit, Gesundheit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FinanzVO StrUG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https://recht.nulegal.eu/gesetze/FinanzVO%20StrUG/schlussformel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