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FinanzVO StrUG (Nordrhein-Westfalen)</w:t>
      </w:r>
    </w:p>
    <w:p>
      <w:r>
        <w:rPr>
          <w:color w:val="555555"/>
          <w:sz w:val="18"/>
        </w:rPr>
        <w:t xml:space="preserve">Finanzierungsverordnung StrUG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28. Januar 2026</w:t>
      </w:r>
    </w:p>
    <w:p>
      <w:r>
        <w:t xml:space="preserve">Auf Grund des § 56 Absatz 2 des Strafrechtsbezogenen Unterbringungsgesetzes NRW vom 17. Dezember 2021 (GV. NRW. S. 1494), das durch Gesetz vom 18. Dezember 2025 (GV. NRW 2026 S. 2) geändert worden ist, verordnet das Ministerium für Arbeit, Gesundheit und Soziales im Einvernehmen mit dem Ministerium der Finanzen sowie nach Anhörung des Ausschusses für Arbeit, Gesundheit und Soziales:</w:t>
      </w:r>
    </w:p>
    <w:p>
      <w:r>
        <w:rPr>
          <w:color w:val="555555"/>
          <w:sz w:val="17"/>
        </w:rPr>
        <w:t xml:space="preserve">Zitiervorschlag: Eingangsformel FinanzVO StrUG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https://recht.nulegal.eu/gesetze/FinanzVO%20StrUG/eingangsformel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