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FinanzVO StrUG (Nordrhein-Westfalen) — Planung der Personalausstattung der behandlungsnahen Berufsgruppen für die Behandlung der stationär und teilstationär untergebrachten Personen</w:t>
      </w:r>
    </w:p>
    <w:p>
      <w:r>
        <w:rPr>
          <w:color w:val="555555"/>
          <w:sz w:val="18"/>
        </w:rPr>
        <w:t xml:space="preserve">Finanzierungsverordnung StrUG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behandlungsnahen Berufsgruppen umfassen insbesondere</w:t>
      </w:r>
    </w:p>
    <w:p>
      <w:r>
        <w:t xml:space="preserve">1. Ärztinnen und Ärzte inklusive ärztlicher Psychotherapeutinnen und Psychotherapeuten,</w:t>
      </w:r>
    </w:p>
    <w:p>
      <w:r>
        <w:t xml:space="preserve">2. Psychologinnen und Psychologen</w:t>
      </w:r>
    </w:p>
    <w:p>
      <w:r>
        <w:t xml:space="preserve">3. Pflegefachpersonen,</w:t>
      </w:r>
    </w:p>
    <w:p>
      <w:r>
        <w:t xml:space="preserve">4. Psychotherapeutinnen und Psychotherapeuten ohne ärztliche Psychotherapeutinnen und Psychotherapeuten,</w:t>
      </w:r>
    </w:p>
    <w:p>
      <w:r>
        <w:t xml:space="preserve">5. Spezialtherapeutinnen und Spezialtherapeuten,</w:t>
      </w:r>
    </w:p>
    <w:p>
      <w:r>
        <w:t xml:space="preserve">6. Bewegungstherapeutinnen und Bewegungstherapeuten,</w:t>
      </w:r>
    </w:p>
    <w:p>
      <w:r>
        <w:t xml:space="preserve">7. Erzieherinnen und Erzieher,</w:t>
      </w:r>
    </w:p>
    <w:p>
      <w:r>
        <w:t xml:space="preserve">8. Sozialarbeiterinnen und Sozialarbeiter, Sozialpädagoginnen und Sozialpädagogen, Heilpädagoginnen und Heilpädagogen,</w:t>
      </w:r>
    </w:p>
    <w:p>
      <w:r>
        <w:t xml:space="preserve">9. Pflegehelferinnen und Pflegehelfer sowie</w:t>
      </w:r>
    </w:p>
    <w:p>
      <w:r>
        <w:t xml:space="preserve">10. ergänzend sonstige Personalausgaben für behandlungsnahe Berufsgruppen.</w:t>
      </w:r>
    </w:p>
    <w:p>
      <w:r>
        <w:t xml:space="preserve">(2) Die personelle Ausstattung ist pro Klinik darzustellen. Soweit unterschiedliche Behandlungsbereiche vorhanden sind, kann eine differenzierte Darstellung erfolgen.</w:t>
      </w:r>
    </w:p>
    <w:p>
      <w:r>
        <w:t xml:space="preserve">Das geplante Personal</w:t>
      </w:r>
    </w:p>
    <w:p>
      <w:r>
        <w:t xml:space="preserve">1. für die Behandlung und Betreuung von untergebrachten Personen mit einem Grad der Freiheitsentziehung von 0 ist unter Berücksichtigung des § 8 sowie</w:t>
      </w:r>
    </w:p>
    <w:p>
      <w:r>
        <w:t xml:space="preserve">2. für die ambulante Nachsorge ist unter Berücksichtigung des § 9</w:t>
      </w:r>
    </w:p>
    <w:p>
      <w:r>
        <w:t xml:space="preserve">als Bestandteil der Personalausstattung gemäß Satz 1 zu dokumentieren.</w:t>
      </w:r>
    </w:p>
    <w:p>
      <w:r>
        <w:t xml:space="preserve">(3) Auszubildende in den Berufsgruppen des Pflege- und Erziehungsdienstes können in einem angemessenen Verhältnis zwischen Fachkraft und Auszubildenden angesetzt werden.</w:t>
      </w:r>
    </w:p>
    <w:p>
      <w:r>
        <w:t xml:space="preserve">(4) Unter der Maßgabe, dass das therapeutische Konzept beibehalten, eine adäquate Behandlung im Sinne des StrUG NRW sichergestellt wird und die Gesamtpersonalkosten nicht überschritten werden, können</w:t>
      </w:r>
    </w:p>
    <w:p>
      <w:r>
        <w:t xml:space="preserve">1. die Kliniken Personalstellen behandlungsnaher Berufsgruppen mit Personal anderer behandlungsnaher Berufsgruppen besetzen sowie</w:t>
      </w:r>
    </w:p>
    <w:p>
      <w:r>
        <w:t xml:space="preserve">2. die Träger im Bedarfsfall für bis zu sechs Monate Personalstellen zwischen Kliniken verschieben.</w:t>
      </w:r>
    </w:p>
    <w:p>
      <w:r>
        <w:t xml:space="preserve">Das zuständige Ministerium ist hierüber innerhalb von vier Wochen zu informieren.</w:t>
      </w:r>
    </w:p>
    <w:p>
      <w:r>
        <w:t xml:space="preserve">Die Mitbestimmungsrechte der Mitarbeitendenvertretungen sind sicherzustellen.</w:t>
      </w:r>
    </w:p>
    <w:p>
      <w:r>
        <w:rPr>
          <w:color w:val="555555"/>
          <w:sz w:val="17"/>
        </w:rPr>
        <w:t xml:space="preserve">Zitiervorschlag: § 4 FinanzVO StrUG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https://recht.nulegal.eu/gesetze/FinanzVO%20StrUG/4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