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FinanzVO StrUG (Nordrhein-Westfalen) — Notwendige Kosten der strafrechtsbezogenen Unterbringung in einem psychiatrischen Krankenhaus und einer Entziehungsanstalt im Sinne des § 56 Absatz 1 StrUG NRW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notwendigen Kosten der strafrechtsbezogenen Unterbringung im Sinne des § 1 StrUG NRW in einer Klinik umfassen alle Kosten, die zur Erreichung des Unterbringungsziels nach § 2 Absatz 2 StrUG NRW notwendig sind. Umfasst sind auch die Kosten der Nachsorge gemäß § 16 Absatz 2 Nummer 3 StrUG NRW.</w:t>
      </w:r>
    </w:p>
    <w:p>
      <w:r>
        <w:t xml:space="preserve">(2) Kosten im Sinne des Absatzes 1 umfassen Personalkosten, Sachkosten, Kosten für die Wiederbeschaffung von Anlagegütern mit einer durchschnittlichen Nutzungsdauer von mehr als drei bis zu fünfzehn Jahren (kurzfristige Anlagegüter), Bau- und Bauunterhaltungsmaßnahmen der Träger und Trägerkosten.</w:t>
      </w:r>
    </w:p>
    <w:p>
      <w:r>
        <w:t xml:space="preserve">(3) Die Finanzierung von Bauunterhaltungsmaßnahmen und nicht planungsrelevanten Baumaßnahmen bis zur Höhe von 1 000 000 Euro, die die Kliniken in eigener Zuständigkeit umsetzen, ist Bestandteil der notwendigen Kosten und wird außerhalb dieser Verordnung geregelt.</w:t>
      </w:r>
    </w:p>
    <w:p>
      <w:r>
        <w:t xml:space="preserve">(4) Die Grundsätze der Wirtschaftlichkeit, Nachhaltigkeit und Sparsamkeit sind zu beachten.</w:t>
      </w:r>
    </w:p>
    <w:p>
      <w:r>
        <w:rPr>
          <w:color w:val="555555"/>
          <w:sz w:val="17"/>
        </w:rPr>
        <w:t xml:space="preserve">Zitiervorschlag: § 2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