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FinanzVO StrUG (Nordrhein-Westfalen) — Inkrafttreten</w:t>
      </w:r>
    </w:p>
    <w:p>
      <w:r>
        <w:rPr>
          <w:color w:val="555555"/>
          <w:sz w:val="18"/>
        </w:rPr>
        <w:t xml:space="preserve">Finanzierungsverordnung StrUG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1. Januar 2026 in Kraft. Gleichzeitig tritt die Finanzierungsverordnung MRV vom 27. November 2002 (GV. NRW. 2002 S. 608, berichtigt 2003 S.177), die zuletzt durch Verordnung vom 5. August 2021 (GV. NRW. S. 1338) geändert worden, außer Kraft</w:t>
      </w:r>
    </w:p>
    <w:p>
      <w:r>
        <w:rPr>
          <w:color w:val="555555"/>
          <w:sz w:val="17"/>
        </w:rPr>
        <w:t xml:space="preserve">Zitiervorschlag: § 19 FinanzVO StrUG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https://recht.nulegal.eu/gesetze/FinanzVO%20StrUG/19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