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FinanzVO StrUG (Nordrhein-Westfalen) — Anwendung auf Beliehene</w:t>
      </w:r>
    </w:p>
    <w:p>
      <w:r>
        <w:rPr>
          <w:color w:val="555555"/>
          <w:sz w:val="18"/>
        </w:rPr>
        <w:t xml:space="preserve">Finanzierungsverordnung StrUG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dieser Verordnung, insbesondere zur Vereinbarung von Budgets, gelten für Beliehene im Sinne des § 53 Absatz 2 Satz 4 StrUG NRW entsprechend.</w:t>
      </w:r>
    </w:p>
    <w:p>
      <w:r>
        <w:t xml:space="preserve">(2) Abweichend von Absatz 1 können mit Beliehenen von den Vorgaben dieser Verordnung abweichende Vereinbarungen getroffen werden, sofern dies den Grundsätzen der Wirtschaftlichkeit und Sparsamkeit entspricht und der Behandlung der untergebrachten Personen nicht entgegensteht.</w:t>
      </w:r>
    </w:p>
    <w:p>
      <w:r>
        <w:rPr>
          <w:color w:val="555555"/>
          <w:sz w:val="17"/>
        </w:rPr>
        <w:t xml:space="preserve">Zitiervorschlag: § 17 FinanzVO StrUG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https://recht.nulegal.eu/gesetze/FinanzVO%20StrUG/17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