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FinanzVO StrUG (Nordrhein-Westfalen) — Rechnungs-, Buchführungs- und Aufzeichnungspflichten</w:t>
      </w:r>
    </w:p>
    <w:p>
      <w:r>
        <w:rPr>
          <w:color w:val="555555"/>
          <w:sz w:val="18"/>
        </w:rPr>
        <w:t xml:space="preserve">Finanzierungsverordnung StrUG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Rechnungslegung und die Buchführung der Kliniken gelten die § 1 Absatz 1 sowie §§ 2, 3, 5, 6 und 8 der Krankenhaus-Buchführungsverordnung in der Fassung der Bekanntmachung vom 24. März 1987 (BGBl. I S. 1045), die zuletzt durch Artikel 25 Absatz 2 des Gesetzes vom 7. August 2021 (BGBl. I S. 3311) geändert worden ist sowie die Abgrenzungsverordnung vom 12. Dezember 1985 (BGBl. I S. 2255), die zuletzt durch Artikel 6 des Gesetzes vom 21. Juli 2012 (BGBl. I S. 1613) geändert worden ist entsprechend.</w:t>
      </w:r>
    </w:p>
    <w:p>
      <w:r>
        <w:t xml:space="preserve">(2) Rechnungslegungs-, Buchführungs- und Aufzeichnungspflichten nach anderen Vorschriften wie dem Handelsgesetzbuch sowie steuerrechtliche Vorschriften bleiben unberührt.</w:t>
      </w:r>
    </w:p>
    <w:p>
      <w:r>
        <w:rPr>
          <w:color w:val="555555"/>
          <w:sz w:val="17"/>
        </w:rPr>
        <w:t xml:space="preserve">Zitiervorschlag: § 14 FinanzVO StrUG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https://recht.nulegal.eu/gesetze/FinanzVO%20StrUG/14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