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FinanzVO StrUG (Nordrhein-Westfalen) — Zahlung der Budgets</w:t>
      </w:r>
    </w:p>
    <w:p>
      <w:r>
        <w:rPr>
          <w:color w:val="555555"/>
          <w:sz w:val="18"/>
        </w:rPr>
        <w:t xml:space="preserve">Finanzierungsverordnung StrUG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Auszahlung des Budgets erfolgt jeweils zu gleichen Anteilen zur Mitte eines Quartals des Budgetjahres. Abweichungen hiervon können in den Budgetvereinbarungen geregelt werden.</w:t>
      </w:r>
    </w:p>
    <w:p>
      <w:r>
        <w:t xml:space="preserve">(2) Kommt eine Budgetvereinbarung vor Beginn des Budgetjahres nicht zustande, werden die Abschlagszahlungen des dem Budgetjahr vorangegangenen Jahres unter Vorbehalt weitergeleistet. Diese werden auf das vereinbarte Budget angerechnet.</w:t>
      </w:r>
    </w:p>
    <w:p>
      <w:r>
        <w:t xml:space="preserve">Zur Vermeidung von Liquiditätsengpässen können zusätzliche Ausgleichszahlungen begründet angefordert werden.</w:t>
      </w:r>
    </w:p>
    <w:p>
      <w:r>
        <w:rPr>
          <w:color w:val="555555"/>
          <w:sz w:val="17"/>
        </w:rPr>
        <w:t xml:space="preserve">Zitiervorschlag: § 12 FinanzVO StrUG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https://recht.nulegal.eu/gesetze/FinanzVO%20StrUG/12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