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FinaV — Turnus, Frist und Verfahren zur Einreichung der Risikotragfähigkeitsinformationen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19.08.2020 (konsolidierte Textfassung, kein amtliches Inkrafttretensdatum)</w:t>
      </w:r>
    </w:p>
    <w:p>
      <w:r>
        <w:t xml:space="preserve">(1) Nach § 25 Absatz 1 Satz 2 und Absatz 2 Satz 2 des Kreditwesengesetzes haben Kreditinstitute und übergeordnete Unternehmen einmal jährlich Risikotragfähigkeitsinformationen einzureichen. Hat die Bundesanstalt nach § 12 für ein Kreditinstitut oder eine Gruppe eine erhöhte Meldefrequenz angeordnet, so ist der in der Anordnung bestimmte Meldeturnus einschlägig.</w:t>
      </w:r>
    </w:p>
    <w:p>
      <w:r>
        <w:t xml:space="preserve">(2) Die Risikotragfähigkeitsinformationen sind innerhalb von sieben Wochen nach dem von der Bundesanstalt festgelegten Meldestichtag einzureichen.</w:t>
      </w:r>
    </w:p>
    <w:p>
      <w:r>
        <w:t xml:space="preserve">(3) Die Risikotragfähigkeitsinformationen sind der Deutschen Bundesbank elektronisch zu übermitteln. Die Deutsche Bundesbank veröffentlicht auf ihrer Internetseite die zu verwendenden Datenformate und den Übertragungsweg.</w:t>
      </w:r>
    </w:p>
    <w:p>
      <w:r>
        <w:rPr>
          <w:color w:val="555555"/>
          <w:sz w:val="17"/>
        </w:rPr>
        <w:t xml:space="preserve">Zitiervorschlag: § 9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