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FinaV — Art und Umfang der Risikotragfähigkeitsinformationen</w:t>
      </w:r>
    </w:p>
    <w:p>
      <w:r>
        <w:rPr>
          <w:color w:val="555555"/>
          <w:sz w:val="18"/>
        </w:rPr>
        <w:t xml:space="preserve">Finanz- und Risikotragfähigkeitsinformationenverordnung</w:t>
      </w:r>
    </w:p>
    <w:p>
      <w:r>
        <w:rPr>
          <w:color w:val="555555"/>
          <w:sz w:val="18"/>
        </w:rPr>
        <w:t xml:space="preserve">Stand: 19.08.2020 (konsolidierte Textfassung, kein amtliches Inkrafttretensdatum)</w:t>
      </w:r>
    </w:p>
    <w:p>
      <w:r>
        <w:t xml:space="preserve">(1) Die Risikotragfähigkeitsinformationen im Sinne des § 25 Absatz 1 und 2 des Kreditwesengesetzes bestehen aus den Angaben zur Konzeption der Risikotragfähigkeitssteuerung, zum Risikodeckungspotential, zu den Risiken und den Verfahren zu ihrer Ermittlung, Steuerung und Überwachung sowie aus den Angaben zur Kapitalplanung und zum Liquiditätsmanagement gemäß den Formularen in den Anlagen 14 bis 26. Nähere Bestimmungen zu Art und Umfang der jeweils einzureichenden Risikotragfähigkeitsinformationen ergeben sich aus den §§ 10 und 11.</w:t>
      </w:r>
    </w:p>
    <w:p>
      <w:r>
        <w:t xml:space="preserve">(2) Mit den Formularen werden Pflichtangaben und freiwillige Angaben erhoben, die auf Informationen beruhen, welche den Kreditinstituten und übergeordneten Unternehmen bereits vorliegen. Die Ausgestaltung der Verfahren zur Ermittlung und Sicherstellung der Risikotragfähigkeit durch die Kreditinstitute und übergeordneten Unternehmen wird durch die Risikotragfähigkeitsinformationen gemäß den Anlagen 14 bis 26 nicht berührt.</w:t>
      </w:r>
    </w:p>
    <w:p>
      <w:r>
        <w:rPr>
          <w:color w:val="555555"/>
          <w:sz w:val="17"/>
        </w:rPr>
        <w:t xml:space="preserve">Zitiervorschlag: § 8 FinaV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