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FinaV — Ergänzende Informationen von Finanzdienstleistungsinstituten</w:t>
      </w:r>
    </w:p>
    <w:p>
      <w:r>
        <w:rPr>
          <w:color w:val="555555"/>
          <w:sz w:val="18"/>
        </w:rPr>
        <w:t xml:space="preserve">Finanz- und Risikotragfähigkeitsinformationenverordnung</w:t>
      </w:r>
    </w:p>
    <w:p>
      <w:r>
        <w:rPr>
          <w:color w:val="555555"/>
          <w:sz w:val="18"/>
        </w:rPr>
        <w:t xml:space="preserve">Stand: 26.06.2021 (konsolidierte Textfassung, kein amtliches Inkrafttretensdatum)</w:t>
      </w:r>
    </w:p>
    <w:p>
      <w:r>
        <w:t xml:space="preserve">(1) Finanzdienstleistungsinstitute, die die Drittstaateneinlagenvermittlung erbringen, haben ergänzend zu den Finanzinformationen nach Staaten geordnet folgende Informationen einzureichen:</w:t>
      </w:r>
    </w:p>
    <w:p>
      <w:pPr>
        <w:ind w:left="420"/>
      </w:pPr>
      <w:r>
        <w:t xml:space="preserve">1. Firma und Sitz der Unternehmen, denen sie im Berichtszeitraum Einlagen vermittelt haben und die ihren Sitz in Staaten außerhalb des Europäischen Wirtschaftsraums haben, sowie</w:t>
      </w:r>
    </w:p>
    <w:p>
      <w:pPr>
        <w:ind w:left="420"/>
      </w:pPr>
      <w:r>
        <w:t xml:space="preserve">2. die jeweils zuständigen Aufsichtsbehörden.</w:t>
      </w:r>
    </w:p>
    <w:p>
      <w:r>
        <w:t xml:space="preserve">(2) Finanzdienstleistungsinstitute, die das Sortengeschäft erbringen, haben ergänzend zu den Finanzinformationen folgende Informationen einzureichen:</w:t>
      </w:r>
    </w:p>
    <w:p>
      <w:pPr>
        <w:ind w:left="420"/>
      </w:pPr>
      <w:r>
        <w:t xml:space="preserve">1. Firma und Sitz der Unternehmen, die sie innerhalb des Berichtszeitraums im Rahmen der Durchführung des Sortengeschäfts eingeschaltet haben, und</w:t>
      </w:r>
    </w:p>
    <w:p>
      <w:pPr>
        <w:ind w:left="420"/>
      </w:pPr>
      <w:r>
        <w:t xml:space="preserve">2. Stückzahl und Betrag der Umsätze mit Kunden, aufgegliedert nach</w:t>
      </w:r>
    </w:p>
    <w:p>
      <w:pPr>
        <w:ind w:left="780"/>
      </w:pPr>
      <w:r>
        <w:t xml:space="preserve">a) den einzelnen Währungen und</w:t>
      </w:r>
    </w:p>
    <w:p>
      <w:pPr>
        <w:ind w:left="780"/>
      </w:pPr>
      <w:r>
        <w:t xml:space="preserve">b) innerhalb der Währungen nach Ankauf und Verkauf, jeweils aufgegliedert nach folgenden Größenordnungen:</w:t>
      </w:r>
    </w:p>
    <w:p>
      <w:pPr>
        <w:ind w:left="1140"/>
      </w:pPr>
      <w:r>
        <w:t xml:space="preserve">aa) bis 2 500 Euro,</w:t>
      </w:r>
    </w:p>
    <w:p>
      <w:pPr>
        <w:ind w:left="1140"/>
      </w:pPr>
      <w:r>
        <w:t xml:space="preserve">bb) über 2 500 bis 15 000 Euro,</w:t>
      </w:r>
    </w:p>
    <w:p>
      <w:pPr>
        <w:ind w:left="1140"/>
      </w:pPr>
      <w:r>
        <w:t xml:space="preserve">cc) über 15 000 Euro.</w:t>
      </w:r>
    </w:p>
    <w:p>
      <w:pPr>
        <w:ind w:left="420"/>
      </w:pPr>
      <w:r>
        <w:t xml:space="preserve">Sorten im Sinne des Satzes 1 sind ausländische Banknoten und Münzen, die gesetzliche Zahlungsmittel sind, sowie Reiseschecks in ausländischer Währung.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7 FinaV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