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FinaV — Finanzinformationen auf zusammengefasster Basis</w:t>
      </w:r>
    </w:p>
    <w:p>
      <w:r>
        <w:rPr>
          <w:color w:val="555555"/>
          <w:sz w:val="18"/>
        </w:rPr>
        <w:t xml:space="preserve">Finanz- und Risikotragfähigkeitsinformationenverordnung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Übergeordnete Unternehmen haben auf zusammengefasster Basis das Formular Sonstige Angaben – QSA (Anlage 13) einzureichen.</w:t>
      </w:r>
    </w:p>
    <w:p>
      <w:r>
        <w:t xml:space="preserve">(2) Übergeordnete Unternehmen, deren Institutsgruppe, Finanzholding-Gruppe oder gemischte Finanzholding-Gruppe kein CRR-Kreditinstitut im Sinne des § 1 Absatz 3d Satz 1 des Kreditwesengesetzes angehört, haben abweichend von Absatz 1 die folgenden Finanzinformationen auf zusammengefasster Basis einzureichen und hierfür die folgenden Formulare aus den Anlagen der Verordnung zu verwenden:</w:t>
      </w:r>
    </w:p>
    <w:p>
      <w:pPr>
        <w:ind w:left="420"/>
      </w:pPr>
      <w:r>
        <w:t xml:space="preserve">1. Gewinn- und Verlustrechnung – QGV (Anlage 6),</w:t>
      </w:r>
    </w:p>
    <w:p>
      <w:pPr>
        <w:ind w:left="420"/>
      </w:pPr>
      <w:r>
        <w:t xml:space="preserve">2. Vermögensstatus – Angaben zu den Aktiva – QV 1 (Anlage 8) und</w:t>
      </w:r>
    </w:p>
    <w:p>
      <w:pPr>
        <w:ind w:left="420"/>
      </w:pPr>
      <w:r>
        <w:t xml:space="preserve">3. Vermögensstatus – Angaben zu den Passiva – QV 2 (Anlage 9).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6 FinaV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