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FinaV — Finanzinformationen von Finanzdienstleistungsinstituten und Wertpapierhandelsbanken</w:t>
      </w:r>
    </w:p>
    <w:p>
      <w:r>
        <w:rPr>
          <w:color w:val="555555"/>
          <w:sz w:val="18"/>
        </w:rPr>
        <w:t xml:space="preserve">Finanz- und Risikotragfähigkeitsinformationenverordnung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(1) Finanzdienstleistungsinstitute haben die folgenden Finanzinformationen einzureichen und hierfür die folgenden Formulare aus den Anlagen der Verordnung zu verwenden:</w:t>
      </w:r>
    </w:p>
    <w:p>
      <w:pPr>
        <w:ind w:left="420"/>
      </w:pPr>
      <w:r>
        <w:t xml:space="preserve">1. Gewinn- und Verlustrechnung – GVFDI (Anlage 4) und</w:t>
      </w:r>
    </w:p>
    <w:p>
      <w:pPr>
        <w:ind w:left="420"/>
      </w:pPr>
      <w:r>
        <w:t xml:space="preserve">2. Vermögensstatus – STFDI (Anlage 5).</w:t>
      </w:r>
    </w:p>
    <w:p>
      <w:r>
        <w:t xml:space="preserve">(2) Finanzdienstleistungsinstitute, die entweder über die Drittstaateneinlagenvermittlung oder über das Sortengeschäft hinaus keine weiteren nach dem Kreditwesengesetz erlaubnispflichtigen Geschäfte betreiben, sind von der Pflicht, Finanzinformationen nach Absatz 1 einzureichen, befreit.</w:t>
      </w:r>
    </w:p>
    <w:p>
      <w:r>
        <w:rPr>
          <w:color w:val="555555"/>
          <w:sz w:val="17"/>
        </w:rPr>
        <w:t xml:space="preserve">Zitiervorschlag: § 5 FinaV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