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FinaV — Art und Umfang der Finanzinformationen und der ergänzenden Informationen</w:t>
      </w:r>
    </w:p>
    <w:p>
      <w:r>
        <w:rPr>
          <w:color w:val="555555"/>
          <w:sz w:val="18"/>
        </w:rPr>
        <w:t xml:space="preserve">Finanz- und Risikotragfähigkeitsinformationenverordnung</w:t>
      </w:r>
    </w:p>
    <w:p>
      <w:r>
        <w:rPr>
          <w:color w:val="555555"/>
          <w:sz w:val="18"/>
        </w:rPr>
        <w:t xml:space="preserve">Stand: 26.06.2021 (konsolidierte Textfassung, kein amtliches Inkrafttretensdatum)</w:t>
      </w:r>
    </w:p>
    <w:p>
      <w:r>
        <w:t xml:space="preserve">(1) Die Finanzinformationen im Sinne des § 25 Absatz 1 und 2 des Kreditwesengesetzes bestehen aus:</w:t>
      </w:r>
    </w:p>
    <w:p>
      <w:pPr>
        <w:ind w:left="420"/>
      </w:pPr>
      <w:r>
        <w:t xml:space="preserve">1. Angaben zur Gewinn- und Verlustrechnung, die den Zeitraum seit dem Ende des letzten Geschäftsjahres umfassen,</w:t>
      </w:r>
    </w:p>
    <w:p>
      <w:pPr>
        <w:ind w:left="420"/>
      </w:pPr>
      <w:r>
        <w:t xml:space="preserve">2. Planangaben für die Gewinn- und Verlustrechnung,</w:t>
      </w:r>
    </w:p>
    <w:p>
      <w:pPr>
        <w:ind w:left="420"/>
      </w:pPr>
      <w:r>
        <w:t xml:space="preserve">3. Angaben zum Vermögensstatus, bezogen auf das Ende des jeweiligen Berichtszeitraums, und</w:t>
      </w:r>
    </w:p>
    <w:p>
      <w:pPr>
        <w:ind w:left="420"/>
      </w:pPr>
      <w:r>
        <w:t xml:space="preserve">4. sonstigen Angaben.</w:t>
      </w:r>
    </w:p>
    <w:p>
      <w:r>
        <w:t xml:space="preserve">Nähere Bestimmungen zu Art und Umfang der jeweils einzureichenden Finanzinformationen ergeben sich aus den §§ 4 bis 6. Die Bundesanstalt für Finanzdienstleistungsaufsicht (Bundesanstalt) kann auf Antrag eines Instituts oder eines übergeordneten Unternehmens inhaltliche Abweichungen von den einzureichenden Formularen zulassen, wenn dies auf Grund der besonderen Geschäftsstruktur angemessen ist.</w:t>
      </w:r>
    </w:p>
    <w:p>
      <w:r>
        <w:t xml:space="preserve">(2) Finanzdienstleistungsinstitute, die die Drittstaateneinlagenvermittlung im Sinne des § 1 Absatz 1a Satz 2 Nummer 5 des Kreditwesengesetzes oder das Sortengeschäft im Sinne des § 1 Absatz 1a Satz 2 Nummer 7 des Kreditwesengesetzes erbringen, haben darüber hinaus ergänzende Informationen nach § 7 einzureichen.</w:t>
      </w:r>
    </w:p>
    <w:p>
      <w:r>
        <w:rPr>
          <w:color w:val="555555"/>
          <w:sz w:val="17"/>
        </w:rPr>
        <w:t xml:space="preserve">Zitiervorschlag: § 2 FinaV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