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FinaV — Kreditinstitute und Gruppen mit erhöhter Meldefrequenz</w:t>
      </w:r>
    </w:p>
    <w:p>
      <w:r>
        <w:rPr>
          <w:color w:val="555555"/>
          <w:sz w:val="18"/>
        </w:rPr>
        <w:t xml:space="preserve">Finanz- und Risikotragfähigkeitsinformationenverordnung</w:t>
      </w:r>
    </w:p>
    <w:p>
      <w:r>
        <w:rPr>
          <w:color w:val="555555"/>
          <w:sz w:val="18"/>
        </w:rPr>
        <w:t xml:space="preserve">Stand: 19.08.2020 (konsolidierte Textfassung, kein amtliches Inkrafttretensdatum)</w:t>
      </w:r>
    </w:p>
    <w:p>
      <w:r>
        <w:t xml:space="preserve">Die Bundesanstalt kann für ein Kreditinstitut oder eine Gruppe im Einzelfall eine erhöhte Meldefrequenz anordnen, soweit dies zur Erfüllung ihrer Aufgaben erforderlich ist.</w:t>
      </w:r>
    </w:p>
    <w:p>
      <w:r>
        <w:rPr>
          <w:color w:val="555555"/>
          <w:sz w:val="17"/>
        </w:rPr>
        <w:t xml:space="preserve">Zitiervorschlag: § 12 FinaV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